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E5" w:rsidRDefault="003909E5">
      <w:pPr>
        <w:rPr>
          <w:rFonts w:ascii="SourceSansPro-Light" w:hAnsi="SourceSansPro-Light"/>
          <w:color w:val="5B524F"/>
          <w:sz w:val="32"/>
          <w:szCs w:val="32"/>
          <w:shd w:val="clear" w:color="auto" w:fill="FFFFFF"/>
        </w:rPr>
      </w:pPr>
      <w:r>
        <w:rPr>
          <w:noProof/>
          <w:lang w:eastAsia="ru-RU"/>
        </w:rPr>
        <w:drawing>
          <wp:inline distT="0" distB="0" distL="0" distR="0">
            <wp:extent cx="5940425" cy="3341489"/>
            <wp:effectExtent l="0" t="0" r="3175" b="0"/>
            <wp:docPr id="2" name="Рисунок 2" descr="Як зупинити булінг: поради для батьків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к зупинити булінг: поради для батьків - YouTube"/>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3909E5" w:rsidRPr="00A7733C" w:rsidRDefault="00A7733C">
      <w:pPr>
        <w:rPr>
          <w:lang w:val="uk-UA"/>
        </w:rPr>
      </w:pPr>
      <w:r>
        <w:rPr>
          <w:rFonts w:ascii="SourceSansPro-Light" w:hAnsi="SourceSansPro-Light"/>
          <w:color w:val="5B524F"/>
          <w:sz w:val="32"/>
          <w:szCs w:val="32"/>
          <w:shd w:val="clear" w:color="auto" w:fill="FFFFFF"/>
          <w:lang w:val="uk-UA"/>
        </w:rPr>
        <w:t xml:space="preserve">     </w:t>
      </w:r>
    </w:p>
    <w:p w:rsidR="007E0A17" w:rsidRPr="007E0A17" w:rsidRDefault="007E0A17" w:rsidP="007E0A17">
      <w:pPr>
        <w:spacing w:after="0" w:line="240" w:lineRule="auto"/>
        <w:outlineLvl w:val="0"/>
        <w:rPr>
          <w:rFonts w:ascii="AvenirNextCyr-Bold" w:eastAsia="Times New Roman" w:hAnsi="AvenirNextCyr-Bold" w:cs="Times New Roman"/>
          <w:b/>
          <w:bCs/>
          <w:color w:val="000000"/>
          <w:kern w:val="36"/>
          <w:sz w:val="84"/>
          <w:szCs w:val="84"/>
          <w:lang w:eastAsia="ru-RU"/>
        </w:rPr>
      </w:pPr>
      <w:r w:rsidRPr="007E0A17">
        <w:rPr>
          <w:rFonts w:ascii="AvenirNextCyr-Bold" w:eastAsia="Times New Roman" w:hAnsi="AvenirNextCyr-Bold" w:cs="Times New Roman"/>
          <w:b/>
          <w:bCs/>
          <w:color w:val="000000"/>
          <w:kern w:val="36"/>
          <w:sz w:val="84"/>
          <w:szCs w:val="84"/>
          <w:lang w:eastAsia="ru-RU"/>
        </w:rPr>
        <w:t>Поради батькам і дітям: як розпізнати булінг і реагувати на його прояви</w:t>
      </w:r>
    </w:p>
    <w:p w:rsidR="007E0A17" w:rsidRPr="007E0A17" w:rsidRDefault="007E0A17" w:rsidP="007E0A17">
      <w:pPr>
        <w:spacing w:after="0" w:line="240" w:lineRule="auto"/>
        <w:rPr>
          <w:rFonts w:ascii="AvenirNextCyr-Regular" w:eastAsia="Times New Roman" w:hAnsi="AvenirNextCyr-Regular" w:cs="Times New Roman"/>
          <w:color w:val="000000"/>
          <w:sz w:val="29"/>
          <w:szCs w:val="29"/>
          <w:lang w:eastAsia="ru-RU"/>
        </w:rPr>
      </w:pPr>
      <w:r w:rsidRPr="007E0A17">
        <w:rPr>
          <w:rFonts w:ascii="AvenirNextCyr-Regular" w:eastAsia="Times New Roman" w:hAnsi="AvenirNextCyr-Regular" w:cs="Times New Roman"/>
          <w:color w:val="000000"/>
          <w:sz w:val="29"/>
          <w:szCs w:val="29"/>
          <w:lang w:eastAsia="ru-RU"/>
        </w:rPr>
        <w:t>Що робити батькам, які дізналися про те, що їхню дитину цькують у школі? Як поводитися дитині, яка стала об’єктом булінгу? І яке покарання че</w:t>
      </w:r>
      <w:r>
        <w:rPr>
          <w:rFonts w:ascii="AvenirNextCyr-Regular" w:eastAsia="Times New Roman" w:hAnsi="AvenirNextCyr-Regular" w:cs="Times New Roman"/>
          <w:color w:val="000000"/>
          <w:sz w:val="29"/>
          <w:szCs w:val="29"/>
          <w:lang w:eastAsia="ru-RU"/>
        </w:rPr>
        <w:t xml:space="preserve">кає на кривдника? </w:t>
      </w:r>
    </w:p>
    <w:bookmarkStart w:id="0" w:name="_GoBack"/>
    <w:bookmarkEnd w:id="0"/>
    <w:p w:rsidR="007E0A17" w:rsidRDefault="00B62CCE" w:rsidP="007E0A17">
      <w:pPr>
        <w:spacing w:after="0" w:line="240" w:lineRule="auto"/>
        <w:rPr>
          <w:rFonts w:ascii="AvenirNextCyr-Regular" w:eastAsia="Times New Roman" w:hAnsi="AvenirNextCyr-Regular" w:cs="Times New Roman"/>
          <w:color w:val="000000"/>
          <w:sz w:val="29"/>
          <w:szCs w:val="29"/>
          <w:lang w:eastAsia="ru-RU"/>
        </w:rPr>
      </w:pPr>
      <w:r w:rsidRPr="00B62CCE">
        <w:fldChar w:fldCharType="begin"/>
      </w:r>
      <w:r w:rsidR="00E07BC2">
        <w:instrText xml:space="preserve"> HYPERLINK "https://zakon.rada.gov.ua/laws/show/2145-19" </w:instrText>
      </w:r>
      <w:r w:rsidRPr="00B62CCE">
        <w:fldChar w:fldCharType="separate"/>
      </w:r>
      <w:r w:rsidR="007E0A17" w:rsidRPr="007E0A17">
        <w:rPr>
          <w:rFonts w:ascii="AvenirNextCyr-Regular" w:eastAsia="Times New Roman" w:hAnsi="AvenirNextCyr-Regular" w:cs="Times New Roman"/>
          <w:color w:val="329474"/>
          <w:sz w:val="29"/>
          <w:szCs w:val="29"/>
          <w:u w:val="single"/>
          <w:lang w:eastAsia="ru-RU"/>
        </w:rPr>
        <w:t>Закон України «Про освіту»</w:t>
      </w:r>
      <w:r>
        <w:rPr>
          <w:rFonts w:ascii="AvenirNextCyr-Regular" w:eastAsia="Times New Roman" w:hAnsi="AvenirNextCyr-Regular" w:cs="Times New Roman"/>
          <w:color w:val="329474"/>
          <w:sz w:val="29"/>
          <w:szCs w:val="29"/>
          <w:u w:val="single"/>
          <w:lang w:eastAsia="ru-RU"/>
        </w:rPr>
        <w:fldChar w:fldCharType="end"/>
      </w:r>
      <w:r w:rsidR="007E0A17" w:rsidRPr="007E0A17">
        <w:rPr>
          <w:rFonts w:ascii="AvenirNextCyr-Regular" w:eastAsia="Times New Roman" w:hAnsi="AvenirNextCyr-Regular" w:cs="Times New Roman"/>
          <w:color w:val="000000"/>
          <w:sz w:val="29"/>
          <w:szCs w:val="29"/>
          <w:lang w:eastAsia="ru-RU"/>
        </w:rPr>
        <w:t> містить </w:t>
      </w:r>
      <w:r w:rsidR="007E0A17" w:rsidRPr="007E0A17">
        <w:rPr>
          <w:rFonts w:ascii="AvenirNextCyr-Bold" w:eastAsia="Times New Roman" w:hAnsi="AvenirNextCyr-Bold" w:cs="Times New Roman"/>
          <w:b/>
          <w:bCs/>
          <w:color w:val="000000"/>
          <w:sz w:val="29"/>
          <w:szCs w:val="29"/>
          <w:lang w:eastAsia="ru-RU"/>
        </w:rPr>
        <w:t>типові ознаки булінгу:</w:t>
      </w:r>
      <w:r w:rsidR="007E0A17" w:rsidRPr="007E0A17">
        <w:rPr>
          <w:rFonts w:ascii="AvenirNextCyr-Regular" w:eastAsia="Times New Roman" w:hAnsi="AvenirNextCyr-Regular" w:cs="Times New Roman"/>
          <w:color w:val="000000"/>
          <w:sz w:val="29"/>
          <w:szCs w:val="29"/>
          <w:lang w:eastAsia="ru-RU"/>
        </w:rPr>
        <w:br/>
        <w:t>• систематичність (повторюваність) діяння;</w:t>
      </w:r>
      <w:r w:rsidR="007E0A17" w:rsidRPr="007E0A17">
        <w:rPr>
          <w:rFonts w:ascii="AvenirNextCyr-Regular" w:eastAsia="Times New Roman" w:hAnsi="AvenirNextCyr-Regular" w:cs="Times New Roman"/>
          <w:color w:val="000000"/>
          <w:sz w:val="29"/>
          <w:szCs w:val="29"/>
          <w:lang w:eastAsia="ru-RU"/>
        </w:rPr>
        <w:br/>
        <w:t>• наявність сторін – кривдник (булер), потерпілий (жертва булінгу), спостерігачі (за наявності);</w:t>
      </w:r>
      <w:r w:rsidR="007E0A17" w:rsidRPr="007E0A17">
        <w:rPr>
          <w:rFonts w:ascii="AvenirNextCyr-Regular" w:eastAsia="Times New Roman" w:hAnsi="AvenirNextCyr-Regular" w:cs="Times New Roman"/>
          <w:color w:val="000000"/>
          <w:sz w:val="29"/>
          <w:szCs w:val="29"/>
          <w:lang w:eastAsia="ru-RU"/>
        </w:rPr>
        <w:br/>
        <w:t>• дії або бездіяльність кривдника, наслідком яких є заподіяння психічної та (або) фізичної шкоди, приниження, страх, тривога, підпорядкування потерпілого інтересам кривдника та (або) спричинення соціальної ізоляції потерпілого.</w:t>
      </w:r>
    </w:p>
    <w:p w:rsidR="007E0A17" w:rsidRPr="007E0A17" w:rsidRDefault="007E0A17" w:rsidP="007E0A17">
      <w:pPr>
        <w:spacing w:after="0" w:line="240" w:lineRule="auto"/>
        <w:rPr>
          <w:rFonts w:ascii="AvenirNextCyr-Regular" w:eastAsia="Times New Roman" w:hAnsi="AvenirNextCyr-Regular" w:cs="Times New Roman"/>
          <w:color w:val="000000"/>
          <w:sz w:val="29"/>
          <w:szCs w:val="29"/>
          <w:lang w:eastAsia="ru-RU"/>
        </w:rPr>
      </w:pPr>
    </w:p>
    <w:p w:rsidR="007E0A17" w:rsidRDefault="007E0A17" w:rsidP="007E0A17">
      <w:pPr>
        <w:spacing w:after="0" w:line="240" w:lineRule="auto"/>
        <w:rPr>
          <w:rFonts w:ascii="AvenirNextCyr-Regular" w:eastAsia="Times New Roman" w:hAnsi="AvenirNextCyr-Regular" w:cs="Times New Roman"/>
          <w:color w:val="000000"/>
          <w:sz w:val="29"/>
          <w:szCs w:val="29"/>
          <w:lang w:eastAsia="ru-RU"/>
        </w:rPr>
      </w:pPr>
      <w:r w:rsidRPr="007E0A17">
        <w:rPr>
          <w:rFonts w:ascii="AvenirNextCyr-Bold" w:eastAsia="Times New Roman" w:hAnsi="AvenirNextCyr-Bold" w:cs="Times New Roman"/>
          <w:b/>
          <w:bCs/>
          <w:color w:val="000000"/>
          <w:sz w:val="29"/>
          <w:szCs w:val="29"/>
          <w:lang w:eastAsia="ru-RU"/>
        </w:rPr>
        <w:t>Як батькам розпізнати булінг щодо своїх дітей:</w:t>
      </w:r>
      <w:r w:rsidRPr="007E0A17">
        <w:rPr>
          <w:rFonts w:ascii="AvenirNextCyr-Bold" w:eastAsia="Times New Roman" w:hAnsi="AvenirNextCyr-Bold" w:cs="Times New Roman"/>
          <w:b/>
          <w:bCs/>
          <w:color w:val="000000"/>
          <w:sz w:val="29"/>
          <w:szCs w:val="29"/>
          <w:lang w:eastAsia="ru-RU"/>
        </w:rPr>
        <w:br/>
      </w:r>
      <w:r w:rsidRPr="007E0A17">
        <w:rPr>
          <w:rFonts w:ascii="AvenirNextCyr-Regular" w:eastAsia="Times New Roman" w:hAnsi="AvenirNextCyr-Regular" w:cs="Times New Roman"/>
          <w:color w:val="000000"/>
          <w:sz w:val="29"/>
          <w:szCs w:val="29"/>
          <w:lang w:eastAsia="ru-RU"/>
        </w:rPr>
        <w:t>• у дитини зникає бажання ходити до школи;</w:t>
      </w:r>
      <w:r w:rsidRPr="007E0A17">
        <w:rPr>
          <w:rFonts w:ascii="AvenirNextCyr-Regular" w:eastAsia="Times New Roman" w:hAnsi="AvenirNextCyr-Regular" w:cs="Times New Roman"/>
          <w:color w:val="000000"/>
          <w:sz w:val="29"/>
          <w:szCs w:val="29"/>
          <w:lang w:eastAsia="ru-RU"/>
        </w:rPr>
        <w:br/>
      </w:r>
      <w:r w:rsidRPr="007E0A17">
        <w:rPr>
          <w:rFonts w:ascii="AvenirNextCyr-Regular" w:eastAsia="Times New Roman" w:hAnsi="AvenirNextCyr-Regular" w:cs="Times New Roman"/>
          <w:color w:val="000000"/>
          <w:sz w:val="29"/>
          <w:szCs w:val="29"/>
          <w:lang w:eastAsia="ru-RU"/>
        </w:rPr>
        <w:lastRenderedPageBreak/>
        <w:t>• діти уникають участі у спільних шкільних заходах;</w:t>
      </w:r>
      <w:r w:rsidRPr="007E0A17">
        <w:rPr>
          <w:rFonts w:ascii="AvenirNextCyr-Regular" w:eastAsia="Times New Roman" w:hAnsi="AvenirNextCyr-Regular" w:cs="Times New Roman"/>
          <w:color w:val="000000"/>
          <w:sz w:val="29"/>
          <w:szCs w:val="29"/>
          <w:lang w:eastAsia="ru-RU"/>
        </w:rPr>
        <w:br/>
        <w:t>• у дитини спостерігаються різкі зміни настрою;</w:t>
      </w:r>
      <w:r w:rsidRPr="007E0A17">
        <w:rPr>
          <w:rFonts w:ascii="AvenirNextCyr-Regular" w:eastAsia="Times New Roman" w:hAnsi="AvenirNextCyr-Regular" w:cs="Times New Roman"/>
          <w:color w:val="000000"/>
          <w:sz w:val="29"/>
          <w:szCs w:val="29"/>
          <w:lang w:eastAsia="ru-RU"/>
        </w:rPr>
        <w:br/>
        <w:t>• у дитини пропадають речі або вона приносить їх додому у зламаному чи пошкодженому вигляді;</w:t>
      </w:r>
      <w:r w:rsidRPr="007E0A17">
        <w:rPr>
          <w:rFonts w:ascii="AvenirNextCyr-Regular" w:eastAsia="Times New Roman" w:hAnsi="AvenirNextCyr-Regular" w:cs="Times New Roman"/>
          <w:color w:val="000000"/>
          <w:sz w:val="29"/>
          <w:szCs w:val="29"/>
          <w:lang w:eastAsia="ru-RU"/>
        </w:rPr>
        <w:br/>
        <w:t>• у дитини немає друзів у школі;</w:t>
      </w:r>
      <w:r w:rsidRPr="007E0A17">
        <w:rPr>
          <w:rFonts w:ascii="AvenirNextCyr-Regular" w:eastAsia="Times New Roman" w:hAnsi="AvenirNextCyr-Regular" w:cs="Times New Roman"/>
          <w:color w:val="000000"/>
          <w:sz w:val="29"/>
          <w:szCs w:val="29"/>
          <w:lang w:eastAsia="ru-RU"/>
        </w:rPr>
        <w:br/>
        <w:t>• дитина відчуває погіршення стану здоров’я.</w:t>
      </w:r>
    </w:p>
    <w:p w:rsidR="007E0A17" w:rsidRPr="007E0A17" w:rsidRDefault="007E0A17" w:rsidP="007E0A17">
      <w:pPr>
        <w:spacing w:after="0" w:line="240" w:lineRule="auto"/>
        <w:rPr>
          <w:rFonts w:ascii="AvenirNextCyr-Regular" w:eastAsia="Times New Roman" w:hAnsi="AvenirNextCyr-Regular" w:cs="Times New Roman"/>
          <w:color w:val="000000"/>
          <w:sz w:val="29"/>
          <w:szCs w:val="29"/>
          <w:lang w:eastAsia="ru-RU"/>
        </w:rPr>
      </w:pPr>
    </w:p>
    <w:p w:rsidR="007E0A17" w:rsidRDefault="007E0A17" w:rsidP="007E0A17">
      <w:pPr>
        <w:spacing w:after="0" w:line="240" w:lineRule="auto"/>
        <w:rPr>
          <w:rFonts w:ascii="AvenirNextCyr-Regular" w:eastAsia="Times New Roman" w:hAnsi="AvenirNextCyr-Regular" w:cs="Times New Roman"/>
          <w:color w:val="000000"/>
          <w:sz w:val="29"/>
          <w:szCs w:val="29"/>
          <w:lang w:eastAsia="ru-RU"/>
        </w:rPr>
      </w:pPr>
      <w:r w:rsidRPr="007E0A17">
        <w:rPr>
          <w:rFonts w:ascii="AvenirNextCyr-Bold" w:eastAsia="Times New Roman" w:hAnsi="AvenirNextCyr-Bold" w:cs="Times New Roman"/>
          <w:b/>
          <w:bCs/>
          <w:color w:val="000000"/>
          <w:sz w:val="29"/>
          <w:szCs w:val="29"/>
          <w:lang w:eastAsia="ru-RU"/>
        </w:rPr>
        <w:t>Як батькам реагувати на ознаки булінгу:</w:t>
      </w:r>
      <w:r w:rsidRPr="007E0A17">
        <w:rPr>
          <w:rFonts w:ascii="AvenirNextCyr-Regular" w:eastAsia="Times New Roman" w:hAnsi="AvenirNextCyr-Regular" w:cs="Times New Roman"/>
          <w:color w:val="000000"/>
          <w:sz w:val="29"/>
          <w:szCs w:val="29"/>
          <w:lang w:eastAsia="ru-RU"/>
        </w:rPr>
        <w:br/>
        <w:t>• з дитиною необхідно обговорювати цю проблему якомога спокійніше;</w:t>
      </w:r>
      <w:r w:rsidRPr="007E0A17">
        <w:rPr>
          <w:rFonts w:ascii="AvenirNextCyr-Regular" w:eastAsia="Times New Roman" w:hAnsi="AvenirNextCyr-Regular" w:cs="Times New Roman"/>
          <w:color w:val="000000"/>
          <w:sz w:val="29"/>
          <w:szCs w:val="29"/>
          <w:lang w:eastAsia="ru-RU"/>
        </w:rPr>
        <w:br/>
        <w:t>• необхідно створити відчуття захищеності та спокою;</w:t>
      </w:r>
      <w:r w:rsidRPr="007E0A17">
        <w:rPr>
          <w:rFonts w:ascii="AvenirNextCyr-Regular" w:eastAsia="Times New Roman" w:hAnsi="AvenirNextCyr-Regular" w:cs="Times New Roman"/>
          <w:color w:val="000000"/>
          <w:sz w:val="29"/>
          <w:szCs w:val="29"/>
          <w:lang w:eastAsia="ru-RU"/>
        </w:rPr>
        <w:br/>
        <w:t>• уникайте звинувачень та не перетворюйте розмову на допит;</w:t>
      </w:r>
      <w:r w:rsidRPr="007E0A17">
        <w:rPr>
          <w:rFonts w:ascii="AvenirNextCyr-Regular" w:eastAsia="Times New Roman" w:hAnsi="AvenirNextCyr-Regular" w:cs="Times New Roman"/>
          <w:color w:val="000000"/>
          <w:sz w:val="29"/>
          <w:szCs w:val="29"/>
          <w:lang w:eastAsia="ru-RU"/>
        </w:rPr>
        <w:br/>
        <w:t>• спробуйте знайти чи розробити спільне рішення, яке дасть можливість дитині почуватись більш захищеною;</w:t>
      </w:r>
      <w:r w:rsidRPr="007E0A17">
        <w:rPr>
          <w:rFonts w:ascii="AvenirNextCyr-Regular" w:eastAsia="Times New Roman" w:hAnsi="AvenirNextCyr-Regular" w:cs="Times New Roman"/>
          <w:color w:val="000000"/>
          <w:sz w:val="29"/>
          <w:szCs w:val="29"/>
          <w:lang w:eastAsia="ru-RU"/>
        </w:rPr>
        <w:br/>
        <w:t>• необхідно негайно повідомити про факти булінгу адміністрацію школи;</w:t>
      </w:r>
      <w:r w:rsidRPr="007E0A17">
        <w:rPr>
          <w:rFonts w:ascii="AvenirNextCyr-Regular" w:eastAsia="Times New Roman" w:hAnsi="AvenirNextCyr-Regular" w:cs="Times New Roman"/>
          <w:color w:val="000000"/>
          <w:sz w:val="29"/>
          <w:szCs w:val="29"/>
          <w:lang w:eastAsia="ru-RU"/>
        </w:rPr>
        <w:br/>
        <w:t>• з метою притягнення винуватців необхідно повідомити про факти цькування до поліції;</w:t>
      </w:r>
      <w:r w:rsidRPr="007E0A17">
        <w:rPr>
          <w:rFonts w:ascii="AvenirNextCyr-Regular" w:eastAsia="Times New Roman" w:hAnsi="AvenirNextCyr-Regular" w:cs="Times New Roman"/>
          <w:color w:val="000000"/>
          <w:sz w:val="29"/>
          <w:szCs w:val="29"/>
          <w:lang w:eastAsia="ru-RU"/>
        </w:rPr>
        <w:br/>
        <w:t>• доречним буде отримати консультацію у психолога.</w:t>
      </w:r>
    </w:p>
    <w:p w:rsidR="007E0A17" w:rsidRPr="007E0A17" w:rsidRDefault="007E0A17" w:rsidP="007E0A17">
      <w:pPr>
        <w:spacing w:after="0" w:line="240" w:lineRule="auto"/>
        <w:rPr>
          <w:rFonts w:ascii="AvenirNextCyr-Regular" w:eastAsia="Times New Roman" w:hAnsi="AvenirNextCyr-Regular" w:cs="Times New Roman"/>
          <w:color w:val="000000"/>
          <w:sz w:val="29"/>
          <w:szCs w:val="29"/>
          <w:lang w:eastAsia="ru-RU"/>
        </w:rPr>
      </w:pPr>
    </w:p>
    <w:p w:rsidR="007E0A17" w:rsidRDefault="007E0A17" w:rsidP="007E0A17">
      <w:pPr>
        <w:spacing w:after="0" w:line="240" w:lineRule="auto"/>
        <w:rPr>
          <w:rFonts w:ascii="AvenirNextCyr-Regular" w:eastAsia="Times New Roman" w:hAnsi="AvenirNextCyr-Regular" w:cs="Times New Roman"/>
          <w:color w:val="000000"/>
          <w:sz w:val="29"/>
          <w:szCs w:val="29"/>
          <w:lang w:eastAsia="ru-RU"/>
        </w:rPr>
      </w:pPr>
      <w:r w:rsidRPr="007E0A17">
        <w:rPr>
          <w:rFonts w:ascii="AvenirNextCyr-Bold" w:eastAsia="Times New Roman" w:hAnsi="AvenirNextCyr-Bold" w:cs="Times New Roman"/>
          <w:b/>
          <w:bCs/>
          <w:color w:val="000000"/>
          <w:sz w:val="29"/>
          <w:szCs w:val="29"/>
          <w:lang w:eastAsia="ru-RU"/>
        </w:rPr>
        <w:t>Поради дітям, як поводитися із кривдником</w:t>
      </w:r>
      <w:r w:rsidRPr="007E0A17">
        <w:rPr>
          <w:rFonts w:ascii="AvenirNextCyr-Bold" w:eastAsia="Times New Roman" w:hAnsi="AvenirNextCyr-Bold" w:cs="Times New Roman"/>
          <w:b/>
          <w:bCs/>
          <w:color w:val="000000"/>
          <w:sz w:val="29"/>
          <w:szCs w:val="29"/>
          <w:lang w:eastAsia="ru-RU"/>
        </w:rPr>
        <w:br/>
      </w:r>
      <w:r w:rsidRPr="007E0A17">
        <w:rPr>
          <w:rFonts w:ascii="AvenirNextCyr-Regular" w:eastAsia="Times New Roman" w:hAnsi="AvenirNextCyr-Regular" w:cs="Times New Roman"/>
          <w:color w:val="000000"/>
          <w:sz w:val="29"/>
          <w:szCs w:val="29"/>
          <w:lang w:eastAsia="ru-RU"/>
        </w:rPr>
        <w:t>• Якщо це можливо, ігноруйте кривдника і уникайте контактів з ним.</w:t>
      </w:r>
      <w:r w:rsidRPr="007E0A17">
        <w:rPr>
          <w:rFonts w:ascii="AvenirNextCyr-Regular" w:eastAsia="Times New Roman" w:hAnsi="AvenirNextCyr-Regular" w:cs="Times New Roman"/>
          <w:color w:val="000000"/>
          <w:sz w:val="29"/>
          <w:szCs w:val="29"/>
          <w:lang w:eastAsia="ru-RU"/>
        </w:rPr>
        <w:br/>
        <w:t>• Стримуйте гнів і злість. Адже це саме те, чого домагається кривдник. Говоріть спокійно і впевнено, демонструйте силу духу.</w:t>
      </w:r>
      <w:r w:rsidRPr="007E0A17">
        <w:rPr>
          <w:rFonts w:ascii="AvenirNextCyr-Regular" w:eastAsia="Times New Roman" w:hAnsi="AvenirNextCyr-Regular" w:cs="Times New Roman"/>
          <w:color w:val="000000"/>
          <w:sz w:val="29"/>
          <w:szCs w:val="29"/>
          <w:lang w:eastAsia="ru-RU"/>
        </w:rPr>
        <w:br/>
        <w:t>• Не вступайте в бійку. Кривдник тільки й чекає приводу, щоб застосувати силу. Чим агресивніше ви реагуєте, тим більше шансів опинитися у загрозливій для вашої безпеки і здоров’я ситуації.</w:t>
      </w:r>
      <w:r w:rsidRPr="007E0A17">
        <w:rPr>
          <w:rFonts w:ascii="AvenirNextCyr-Regular" w:eastAsia="Times New Roman" w:hAnsi="AvenirNextCyr-Regular" w:cs="Times New Roman"/>
          <w:color w:val="000000"/>
          <w:sz w:val="29"/>
          <w:szCs w:val="29"/>
          <w:lang w:eastAsia="ru-RU"/>
        </w:rPr>
        <w:br/>
        <w:t>• Не соромтеся обговорювати такі загрозливі ситуації з людьми, яким ви довіряєте. Це допоможе вибудувати правильну лінію поведінки і припинити насилля.</w:t>
      </w:r>
      <w:r w:rsidRPr="007E0A17">
        <w:rPr>
          <w:rFonts w:ascii="AvenirNextCyr-Regular" w:eastAsia="Times New Roman" w:hAnsi="AvenirNextCyr-Regular" w:cs="Times New Roman"/>
          <w:color w:val="000000"/>
          <w:sz w:val="29"/>
          <w:szCs w:val="29"/>
          <w:lang w:eastAsia="ru-RU"/>
        </w:rPr>
        <w:br/>
        <w:t>• Радимо при явних ознаках вчинення булінгу викликати поліцію, яка має повноваження приїхати, припинити правопорушення та скласти протокол про притягнення до адміністративної відповідальності кривдника, який потім буде розглянутий судом.</w:t>
      </w:r>
    </w:p>
    <w:p w:rsidR="007E0A17" w:rsidRPr="007E0A17" w:rsidRDefault="007E0A17" w:rsidP="007E0A17">
      <w:pPr>
        <w:spacing w:after="0" w:line="240" w:lineRule="auto"/>
        <w:rPr>
          <w:rFonts w:ascii="AvenirNextCyr-Regular" w:eastAsia="Times New Roman" w:hAnsi="AvenirNextCyr-Regular" w:cs="Times New Roman"/>
          <w:color w:val="000000"/>
          <w:sz w:val="29"/>
          <w:szCs w:val="29"/>
          <w:lang w:eastAsia="ru-RU"/>
        </w:rPr>
      </w:pPr>
    </w:p>
    <w:p w:rsidR="007E0A17" w:rsidRPr="007E0A17" w:rsidRDefault="007E0A17" w:rsidP="007E0A17">
      <w:pPr>
        <w:spacing w:after="0" w:line="240" w:lineRule="auto"/>
        <w:rPr>
          <w:rFonts w:ascii="AvenirNextCyr-Regular" w:eastAsia="Times New Roman" w:hAnsi="AvenirNextCyr-Regular" w:cs="Times New Roman"/>
          <w:color w:val="000000"/>
          <w:sz w:val="29"/>
          <w:szCs w:val="29"/>
          <w:lang w:eastAsia="ru-RU"/>
        </w:rPr>
      </w:pPr>
      <w:r w:rsidRPr="007E0A17">
        <w:rPr>
          <w:rFonts w:ascii="AvenirNextCyr-Bold" w:eastAsia="Times New Roman" w:hAnsi="AvenirNextCyr-Bold" w:cs="Times New Roman"/>
          <w:b/>
          <w:bCs/>
          <w:color w:val="000000"/>
          <w:sz w:val="29"/>
          <w:szCs w:val="29"/>
          <w:lang w:eastAsia="ru-RU"/>
        </w:rPr>
        <w:t>Відповідальність за вчинення булінгу</w:t>
      </w:r>
      <w:r w:rsidRPr="007E0A17">
        <w:rPr>
          <w:rFonts w:ascii="AvenirNextCyr-Bold" w:eastAsia="Times New Roman" w:hAnsi="AvenirNextCyr-Bold" w:cs="Times New Roman"/>
          <w:b/>
          <w:bCs/>
          <w:color w:val="000000"/>
          <w:sz w:val="29"/>
          <w:szCs w:val="29"/>
          <w:lang w:eastAsia="ru-RU"/>
        </w:rPr>
        <w:br/>
      </w:r>
      <w:r w:rsidRPr="007E0A17">
        <w:rPr>
          <w:rFonts w:ascii="AvenirNextCyr-Regular" w:eastAsia="Times New Roman" w:hAnsi="AvenirNextCyr-Regular" w:cs="Times New Roman"/>
          <w:color w:val="000000"/>
          <w:sz w:val="29"/>
          <w:szCs w:val="29"/>
          <w:lang w:eastAsia="ru-RU"/>
        </w:rPr>
        <w:t>Юридична відповідальність за вчинення булінгу виписана в статті 173-</w:t>
      </w:r>
      <w:hyperlink r:id="rId5" w:history="1">
        <w:r w:rsidRPr="007E0A17">
          <w:rPr>
            <w:rFonts w:ascii="AvenirNextCyr-Regular" w:eastAsia="Times New Roman" w:hAnsi="AvenirNextCyr-Regular" w:cs="Times New Roman"/>
            <w:color w:val="329474"/>
            <w:sz w:val="29"/>
            <w:szCs w:val="29"/>
            <w:u w:val="single"/>
            <w:lang w:eastAsia="ru-RU"/>
          </w:rPr>
          <w:t>4 Кодексу України Про адміністративні правопорушення.</w:t>
        </w:r>
      </w:hyperlink>
      <w:r w:rsidRPr="007E0A17">
        <w:rPr>
          <w:rFonts w:ascii="AvenirNextCyr-Regular" w:eastAsia="Times New Roman" w:hAnsi="AvenirNextCyr-Regular" w:cs="Times New Roman"/>
          <w:color w:val="000000"/>
          <w:sz w:val="29"/>
          <w:szCs w:val="29"/>
          <w:lang w:eastAsia="ru-RU"/>
        </w:rPr>
        <w:br/>
        <w:t>1) Вчинення булінгу без обтяжуючих обставин: штраф від 50 до 100 неоподатковуваних мінімумів доходів громадян або громадські роботи на строк від 20 до 40 годин.</w:t>
      </w:r>
      <w:r w:rsidRPr="007E0A17">
        <w:rPr>
          <w:rFonts w:ascii="AvenirNextCyr-Regular" w:eastAsia="Times New Roman" w:hAnsi="AvenirNextCyr-Regular" w:cs="Times New Roman"/>
          <w:color w:val="000000"/>
          <w:sz w:val="29"/>
          <w:szCs w:val="29"/>
          <w:lang w:eastAsia="ru-RU"/>
        </w:rPr>
        <w:br/>
        <w:t>2) Булінг вчинений групою осіб або повторно протягом року після накладення адміністративного стягнення: штраф від 100 до 200 неоподатковуваних мінімумів доходів громадян або громадські роботи на строк від 40 до 60 годин.</w:t>
      </w:r>
      <w:r w:rsidRPr="007E0A17">
        <w:rPr>
          <w:rFonts w:ascii="AvenirNextCyr-Regular" w:eastAsia="Times New Roman" w:hAnsi="AvenirNextCyr-Regular" w:cs="Times New Roman"/>
          <w:color w:val="000000"/>
          <w:sz w:val="29"/>
          <w:szCs w:val="29"/>
          <w:lang w:eastAsia="ru-RU"/>
        </w:rPr>
        <w:br/>
      </w:r>
      <w:r w:rsidRPr="007E0A17">
        <w:rPr>
          <w:rFonts w:ascii="AvenirNextCyr-Regular" w:eastAsia="Times New Roman" w:hAnsi="AvenirNextCyr-Regular" w:cs="Times New Roman"/>
          <w:color w:val="000000"/>
          <w:sz w:val="29"/>
          <w:szCs w:val="29"/>
          <w:lang w:eastAsia="ru-RU"/>
        </w:rPr>
        <w:lastRenderedPageBreak/>
        <w:t>3) Булінг, вчинений малолітніми або неповнолітніми особами віком від 14 до 16 років: штраф на батьків або осіб, які їх замінюють, від 50 до 100 неоподатковуваних мінімумів доходів громадян або громадські роботи на строк від 20 до 40 годин.</w:t>
      </w:r>
      <w:r w:rsidRPr="007E0A17">
        <w:rPr>
          <w:rFonts w:ascii="AvenirNextCyr-Regular" w:eastAsia="Times New Roman" w:hAnsi="AvenirNextCyr-Regular" w:cs="Times New Roman"/>
          <w:color w:val="000000"/>
          <w:sz w:val="29"/>
          <w:szCs w:val="29"/>
          <w:lang w:eastAsia="ru-RU"/>
        </w:rPr>
        <w:br/>
        <w:t>4) Булінг вчинений групою осіб або повторно малолітньою або неповнолітньою особою віком від 14 до 16 років: штраф на батьків або осіб, які їх замінюють, від 100 до 200 неоподатковуваних мінімумів доходів громадян або громадські роботи на строк від 40 до 60 годин.</w:t>
      </w:r>
      <w:r w:rsidRPr="007E0A17">
        <w:rPr>
          <w:rFonts w:ascii="AvenirNextCyr-Regular" w:eastAsia="Times New Roman" w:hAnsi="AvenirNextCyr-Regular" w:cs="Times New Roman"/>
          <w:color w:val="000000"/>
          <w:sz w:val="29"/>
          <w:szCs w:val="29"/>
          <w:lang w:eastAsia="ru-RU"/>
        </w:rPr>
        <w:br/>
        <w:t>5) 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штраф від 50 до 100 неоподатковуваних мінімумів доходів громадян або виправні роботи на строк до одного місяця з відрахуванням до 20 % заробітку.</w:t>
      </w:r>
      <w:r w:rsidRPr="007E0A17">
        <w:rPr>
          <w:rFonts w:ascii="AvenirNextCyr-Regular" w:eastAsia="Times New Roman" w:hAnsi="AvenirNextCyr-Regular" w:cs="Times New Roman"/>
          <w:color w:val="000000"/>
          <w:sz w:val="29"/>
          <w:szCs w:val="29"/>
          <w:lang w:eastAsia="ru-RU"/>
        </w:rPr>
        <w:br/>
        <w:t>Якщо під час булінгу вчиняються дії, які підпадають під ознаки інших правопорушень, то покарання наступає за такі дії додатково. Наприклад, коли під час цькування особі завдаються тілесні ушкодження, такі дії вже будуть підпадати під дію </w:t>
      </w:r>
      <w:hyperlink r:id="rId6" w:history="1">
        <w:r w:rsidRPr="007E0A17">
          <w:rPr>
            <w:rFonts w:ascii="AvenirNextCyr-Regular" w:eastAsia="Times New Roman" w:hAnsi="AvenirNextCyr-Regular" w:cs="Times New Roman"/>
            <w:color w:val="329474"/>
            <w:sz w:val="29"/>
            <w:szCs w:val="29"/>
            <w:u w:val="single"/>
            <w:lang w:eastAsia="ru-RU"/>
          </w:rPr>
          <w:t>Кримінального кодексу України</w:t>
        </w:r>
      </w:hyperlink>
      <w:r w:rsidRPr="007E0A17">
        <w:rPr>
          <w:rFonts w:ascii="AvenirNextCyr-Regular" w:eastAsia="Times New Roman" w:hAnsi="AvenirNextCyr-Regular" w:cs="Times New Roman"/>
          <w:color w:val="000000"/>
          <w:sz w:val="29"/>
          <w:szCs w:val="29"/>
          <w:lang w:eastAsia="ru-RU"/>
        </w:rPr>
        <w:t>, і в залежності від тяжкості тілесних ушкоджень наставатиме відповідальність.</w:t>
      </w:r>
      <w:r w:rsidRPr="007E0A17">
        <w:rPr>
          <w:rFonts w:ascii="AvenirNextCyr-Regular" w:eastAsia="Times New Roman" w:hAnsi="AvenirNextCyr-Regular" w:cs="Times New Roman"/>
          <w:color w:val="000000"/>
          <w:sz w:val="29"/>
          <w:szCs w:val="29"/>
          <w:lang w:eastAsia="ru-RU"/>
        </w:rPr>
        <w:br/>
        <w:t>Крім того, якщо у процесі булінгу була завдана майнова шкода (пошкоджено майно, витрати на лікування), то кривдник або його батьки нестимуть цивільно-правову відповідальність, яка полягає в обов’язку відшкодувати завдану майнову шкоду.</w:t>
      </w:r>
    </w:p>
    <w:p w:rsidR="003909E5" w:rsidRDefault="003909E5"/>
    <w:p w:rsidR="007E0A17" w:rsidRDefault="007E0A17"/>
    <w:sectPr w:rsidR="007E0A17" w:rsidSect="004810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SansPro-Light">
    <w:altName w:val="Times New Roman"/>
    <w:panose1 w:val="00000000000000000000"/>
    <w:charset w:val="00"/>
    <w:family w:val="roman"/>
    <w:notTrueType/>
    <w:pitch w:val="default"/>
    <w:sig w:usb0="00000000" w:usb1="00000000" w:usb2="00000000" w:usb3="00000000" w:csb0="00000000" w:csb1="00000000"/>
  </w:font>
  <w:font w:name="AvenirNextCyr-Bold">
    <w:altName w:val="Times New Roman"/>
    <w:panose1 w:val="00000000000000000000"/>
    <w:charset w:val="00"/>
    <w:family w:val="roman"/>
    <w:notTrueType/>
    <w:pitch w:val="default"/>
    <w:sig w:usb0="00000000" w:usb1="00000000" w:usb2="00000000" w:usb3="00000000" w:csb0="00000000" w:csb1="00000000"/>
  </w:font>
  <w:font w:name="AvenirNextCyr-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202C"/>
    <w:rsid w:val="00134C4E"/>
    <w:rsid w:val="003909E5"/>
    <w:rsid w:val="0048100C"/>
    <w:rsid w:val="005918F8"/>
    <w:rsid w:val="007E0A17"/>
    <w:rsid w:val="00A7733C"/>
    <w:rsid w:val="00B62CCE"/>
    <w:rsid w:val="00B9202C"/>
    <w:rsid w:val="00E07BC2"/>
    <w:rsid w:val="00F45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00C"/>
  </w:style>
  <w:style w:type="paragraph" w:styleId="1">
    <w:name w:val="heading 1"/>
    <w:basedOn w:val="a"/>
    <w:link w:val="10"/>
    <w:uiPriority w:val="9"/>
    <w:qFormat/>
    <w:rsid w:val="007E0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A1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E0A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0A17"/>
    <w:rPr>
      <w:color w:val="0000FF"/>
      <w:u w:val="single"/>
    </w:rPr>
  </w:style>
  <w:style w:type="character" w:styleId="a5">
    <w:name w:val="Strong"/>
    <w:basedOn w:val="a0"/>
    <w:uiPriority w:val="22"/>
    <w:qFormat/>
    <w:rsid w:val="007E0A17"/>
    <w:rPr>
      <w:b/>
      <w:bCs/>
    </w:rPr>
  </w:style>
  <w:style w:type="paragraph" w:styleId="a6">
    <w:name w:val="Balloon Text"/>
    <w:basedOn w:val="a"/>
    <w:link w:val="a7"/>
    <w:uiPriority w:val="99"/>
    <w:semiHidden/>
    <w:unhideWhenUsed/>
    <w:rsid w:val="00F45A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5A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8180441">
      <w:bodyDiv w:val="1"/>
      <w:marLeft w:val="0"/>
      <w:marRight w:val="0"/>
      <w:marTop w:val="0"/>
      <w:marBottom w:val="0"/>
      <w:divBdr>
        <w:top w:val="none" w:sz="0" w:space="0" w:color="auto"/>
        <w:left w:val="none" w:sz="0" w:space="0" w:color="auto"/>
        <w:bottom w:val="none" w:sz="0" w:space="0" w:color="auto"/>
        <w:right w:val="none" w:sz="0" w:space="0" w:color="auto"/>
      </w:divBdr>
      <w:divsChild>
        <w:div w:id="1092625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go/2341-14" TargetMode="External"/><Relationship Id="rId5" Type="http://schemas.openxmlformats.org/officeDocument/2006/relationships/hyperlink" Target="https://zakon.rada.gov.ua/go/80731-1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3814</Characters>
  <Application>Microsoft Office Word</Application>
  <DocSecurity>0</DocSecurity>
  <Lines>31</Lines>
  <Paragraphs>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Lena</cp:lastModifiedBy>
  <cp:revision>3</cp:revision>
  <dcterms:created xsi:type="dcterms:W3CDTF">2021-06-07T13:45:00Z</dcterms:created>
  <dcterms:modified xsi:type="dcterms:W3CDTF">2021-06-07T13:51:00Z</dcterms:modified>
</cp:coreProperties>
</file>